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both"/>
        <w:rPr>
          <w:rFonts w:hint="eastAsia" w:ascii="黑体" w:hAnsi="宋体" w:eastAsia="黑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eastAsia="zh-CN"/>
        </w:rPr>
        <w:t>附件四：</w:t>
      </w:r>
    </w:p>
    <w:p>
      <w:pPr>
        <w:widowControl/>
        <w:spacing w:line="520" w:lineRule="exact"/>
        <w:jc w:val="both"/>
        <w:rPr>
          <w:rFonts w:hint="eastAsia" w:ascii="黑体" w:hAnsi="宋体" w:eastAsia="黑体" w:cs="宋体"/>
          <w:color w:val="000000"/>
          <w:kern w:val="0"/>
          <w:sz w:val="32"/>
          <w:szCs w:val="32"/>
          <w:lang w:eastAsia="zh-CN"/>
        </w:rPr>
      </w:pPr>
      <w:bookmarkStart w:id="1" w:name="_GoBack"/>
      <w:bookmarkEnd w:id="1"/>
    </w:p>
    <w:p>
      <w:pPr>
        <w:widowControl/>
        <w:spacing w:line="520" w:lineRule="exact"/>
        <w:jc w:val="center"/>
        <w:rPr>
          <w:rFonts w:hint="eastAsia" w:ascii="黑体" w:hAnsi="宋体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eastAsia="zh-CN"/>
        </w:rPr>
        <w:t>武汉大学新闻与传播学院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val="en-US" w:eastAsia="zh-CN"/>
        </w:rPr>
        <w:t>2016级学业奖学金名额分配方式</w:t>
      </w:r>
    </w:p>
    <w:p>
      <w:pPr>
        <w:widowControl/>
        <w:numPr>
          <w:ilvl w:val="0"/>
          <w:numId w:val="0"/>
        </w:numPr>
        <w:spacing w:line="520" w:lineRule="exact"/>
        <w:jc w:val="both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 xml:space="preserve">    </w:t>
      </w:r>
    </w:p>
    <w:p>
      <w:pPr>
        <w:widowControl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一、学术类硕士</w:t>
      </w:r>
    </w:p>
    <w:p>
      <w:pPr>
        <w:numPr>
          <w:ilvl w:val="0"/>
          <w:numId w:val="1"/>
        </w:numPr>
        <w:ind w:firstLine="596" w:firstLineChars="198"/>
        <w:rPr>
          <w:rFonts w:hint="eastAsia" w:ascii="仿宋_GB2312" w:eastAsia="仿宋_GB2312"/>
          <w:sz w:val="30"/>
          <w:szCs w:val="30"/>
          <w:lang w:val="en-US" w:eastAsia="zh-CN"/>
        </w:rPr>
      </w:pPr>
      <w:bookmarkStart w:id="0" w:name="OLE_LINK2"/>
      <w:r>
        <w:rPr>
          <w:rFonts w:hint="eastAsia" w:ascii="仿宋_GB2312" w:eastAsia="仿宋_GB2312"/>
          <w:sz w:val="30"/>
          <w:szCs w:val="30"/>
          <w:lang w:val="en-US" w:eastAsia="zh-CN"/>
        </w:rPr>
        <w:t>一等奖名额占基数的10%，二等奖占20%，三等奖占70%</w:t>
      </w:r>
      <w:bookmarkEnd w:id="0"/>
      <w:r>
        <w:rPr>
          <w:rFonts w:hint="eastAsia" w:ascii="仿宋_GB2312" w:eastAsia="仿宋_GB2312"/>
          <w:sz w:val="30"/>
          <w:szCs w:val="30"/>
          <w:lang w:val="en-US" w:eastAsia="zh-CN"/>
        </w:rPr>
        <w:t>；</w:t>
      </w:r>
    </w:p>
    <w:p>
      <w:pPr>
        <w:numPr>
          <w:ilvl w:val="0"/>
          <w:numId w:val="1"/>
        </w:numPr>
        <w:ind w:firstLine="596" w:firstLineChars="198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奖学金名额按各系录取人数之比分配给报考各系拟录取的考生；</w:t>
      </w:r>
    </w:p>
    <w:p>
      <w:pPr>
        <w:numPr>
          <w:ilvl w:val="0"/>
          <w:numId w:val="1"/>
        </w:numPr>
        <w:ind w:firstLine="596" w:firstLineChars="198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一等、二等奖学金以复试成绩为依据在推免生中产生。</w:t>
      </w:r>
    </w:p>
    <w:p>
      <w:pPr>
        <w:numPr>
          <w:ilvl w:val="0"/>
          <w:numId w:val="0"/>
        </w:numPr>
        <w:rPr>
          <w:rFonts w:hint="eastAsia" w:ascii="仿宋_GB2312" w:eastAsia="仿宋_GB2312"/>
          <w:sz w:val="30"/>
          <w:szCs w:val="30"/>
          <w:lang w:val="en-US" w:eastAsia="zh-CN"/>
        </w:rPr>
      </w:pPr>
    </w:p>
    <w:p>
      <w:pPr>
        <w:widowControl/>
        <w:numPr>
          <w:ilvl w:val="0"/>
          <w:numId w:val="2"/>
        </w:numPr>
        <w:spacing w:line="520" w:lineRule="exact"/>
        <w:ind w:firstLine="640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专业类硕士</w:t>
      </w:r>
    </w:p>
    <w:p>
      <w:pPr>
        <w:numPr>
          <w:ilvl w:val="0"/>
          <w:numId w:val="0"/>
        </w:num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1.30%的考生获得一等奖学金，70%的考生获得二等奖学金；</w:t>
      </w:r>
    </w:p>
    <w:p>
      <w:pPr>
        <w:numPr>
          <w:ilvl w:val="0"/>
          <w:numId w:val="0"/>
        </w:num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2.所有推免生获得一等奖学金。剩余一等奖学金名额在各系拟录取统考类学生中分配，分配标准为入学总成绩；</w:t>
      </w:r>
    </w:p>
    <w:p>
      <w:pPr>
        <w:numPr>
          <w:ilvl w:val="0"/>
          <w:numId w:val="0"/>
        </w:num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3.少数民族骨干计划考生获得二等学业奖。</w:t>
      </w:r>
    </w:p>
    <w:p>
      <w:pPr>
        <w:numPr>
          <w:ilvl w:val="0"/>
          <w:numId w:val="0"/>
        </w:num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</w:t>
      </w:r>
    </w:p>
    <w:p>
      <w:pPr>
        <w:numPr>
          <w:ilvl w:val="0"/>
          <w:numId w:val="0"/>
        </w:num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三、博士研究生</w:t>
      </w: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评审委员会根据参评者入学考试时提交的科研成果得分进行排名。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一等奖名额占基数的10%，二等奖占20%，三等奖占70%。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37A61"/>
    <w:multiLevelType w:val="singleLevel"/>
    <w:tmpl w:val="57737A61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7737B13"/>
    <w:multiLevelType w:val="singleLevel"/>
    <w:tmpl w:val="57737B13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DAD"/>
    <w:rsid w:val="00AF2DA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2016-07-07T10:17:00Z</dcterms:created>
  <dc:creator>lenovo</dc:creator>
  <cp:lastModifiedBy>lenovo</cp:lastModifiedBy>
  <dcterms:modified xsi:type="dcterms:W3CDTF">2016-07-07T10:18:52Z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